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26720" cy="464820"/>
            <wp:effectExtent l="0" t="0" r="0" b="0"/>
            <wp:docPr id="1" name="Picture 1" descr="cid:531372314@06072015-11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531372314@06072015-11D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REPUBLIKA HRVATSKA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GRAD ZAGREB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GRADSKI URED ZA PROSTORNO UREĐENJE, IZGRADNJU GRADA, GRADITELJSTVO, KOMUNALNE POSLOVE I PROMET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Odjela za graditeljstvo 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Središnji odsjek za graditeljstvo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Trg Stjepana Radića 1, Zagreb</w:t>
      </w:r>
    </w:p>
    <w:p w:rsidR="00944DC5" w:rsidRDefault="00944DC5" w:rsidP="00944DC5">
      <w:pPr>
        <w:tabs>
          <w:tab w:val="left" w:pos="5954"/>
          <w:tab w:val="left" w:pos="6096"/>
        </w:tabs>
        <w:ind w:right="4280"/>
        <w:jc w:val="center"/>
        <w:rPr>
          <w:rFonts w:ascii="Arial" w:hAnsi="Arial"/>
          <w:sz w:val="22"/>
          <w:szCs w:val="22"/>
        </w:rPr>
      </w:pPr>
    </w:p>
    <w:p w:rsidR="00944DC5" w:rsidRDefault="00944DC5" w:rsidP="00944DC5">
      <w:pPr>
        <w:tabs>
          <w:tab w:val="left" w:pos="1276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Klasa:  UP/I-361-03/15-01/255</w:t>
      </w:r>
    </w:p>
    <w:p w:rsidR="00944DC5" w:rsidRDefault="00944DC5" w:rsidP="00944DC5">
      <w:pPr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Ur.broj</w:t>
      </w:r>
      <w:proofErr w:type="spellEnd"/>
      <w:r>
        <w:rPr>
          <w:rFonts w:ascii="Arial" w:hAnsi="Arial"/>
          <w:sz w:val="22"/>
          <w:szCs w:val="22"/>
        </w:rPr>
        <w:t>: 251-13-22/116-15-2</w:t>
      </w:r>
    </w:p>
    <w:p w:rsidR="00944DC5" w:rsidRDefault="00944DC5" w:rsidP="00944DC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Zagreb, 06. srpnja  2015.god. </w:t>
      </w:r>
    </w:p>
    <w:p w:rsidR="00944DC5" w:rsidRDefault="00944DC5" w:rsidP="00944DC5">
      <w:pPr>
        <w:tabs>
          <w:tab w:val="left" w:pos="5954"/>
          <w:tab w:val="left" w:pos="6096"/>
        </w:tabs>
        <w:ind w:right="-114"/>
        <w:jc w:val="both"/>
        <w:rPr>
          <w:rFonts w:ascii="Arial" w:hAnsi="Arial"/>
          <w:sz w:val="22"/>
          <w:szCs w:val="22"/>
        </w:rPr>
      </w:pPr>
    </w:p>
    <w:p w:rsidR="00944DC5" w:rsidRDefault="00944DC5" w:rsidP="00944DC5">
      <w:pPr>
        <w:tabs>
          <w:tab w:val="left" w:pos="5954"/>
          <w:tab w:val="left" w:pos="6096"/>
        </w:tabs>
        <w:ind w:right="-114"/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2"/>
        </w:rPr>
        <w:t xml:space="preserve">Gradski ured za prostorno uređenje, izgradnju Grada, graditeljstvo, komunalne poslove i promet, Odjel za graditeljstvo, Središnji odsjek za graditeljstvo, </w:t>
      </w:r>
      <w:r>
        <w:rPr>
          <w:rFonts w:ascii="Arial" w:hAnsi="Arial"/>
          <w:sz w:val="22"/>
          <w:szCs w:val="20"/>
        </w:rPr>
        <w:t>u</w:t>
      </w:r>
      <w:r>
        <w:rPr>
          <w:rFonts w:ascii="Arial" w:hAnsi="Arial"/>
          <w:sz w:val="22"/>
          <w:szCs w:val="22"/>
        </w:rPr>
        <w:t xml:space="preserve"> predmetu izdavanja građevinske dozvole, po zahtjevu </w:t>
      </w:r>
      <w:r>
        <w:rPr>
          <w:rFonts w:ascii="Arial" w:hAnsi="Arial"/>
          <w:sz w:val="22"/>
          <w:szCs w:val="20"/>
        </w:rPr>
        <w:t>trgovačkog društva „Gradska plinara Zagreb“ d.o.o. (OIB 20985255037) Radnička cesta 1, Zagreb, zastupana po trgovačkom društvu „</w:t>
      </w:r>
      <w:proofErr w:type="spellStart"/>
      <w:r>
        <w:rPr>
          <w:rFonts w:ascii="Arial" w:hAnsi="Arial"/>
          <w:sz w:val="22"/>
          <w:szCs w:val="20"/>
        </w:rPr>
        <w:t>Mašinoprojekt</w:t>
      </w:r>
      <w:proofErr w:type="spellEnd"/>
      <w:r>
        <w:rPr>
          <w:rFonts w:ascii="Arial" w:hAnsi="Arial"/>
          <w:sz w:val="22"/>
          <w:szCs w:val="20"/>
        </w:rPr>
        <w:t xml:space="preserve">“   d.o.o. (OIB 67390842610) iz Zagreba, Braće </w:t>
      </w:r>
      <w:proofErr w:type="spellStart"/>
      <w:r>
        <w:rPr>
          <w:rFonts w:ascii="Arial" w:hAnsi="Arial"/>
          <w:sz w:val="22"/>
          <w:szCs w:val="20"/>
        </w:rPr>
        <w:t>Domany</w:t>
      </w:r>
      <w:proofErr w:type="spellEnd"/>
      <w:r>
        <w:rPr>
          <w:rFonts w:ascii="Arial" w:hAnsi="Arial"/>
          <w:sz w:val="22"/>
          <w:szCs w:val="20"/>
        </w:rPr>
        <w:t xml:space="preserve"> 8,  temeljem odredbi članka  115. čl.116., čl. 117., čl.118  i  čl. 119.  Zakona o gradnji (Narodne Novine br.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153/13</w:t>
      </w:r>
      <w:r>
        <w:rPr>
          <w:rFonts w:ascii="Arial" w:hAnsi="Arial"/>
          <w:sz w:val="22"/>
          <w:szCs w:val="20"/>
        </w:rPr>
        <w:t>),</w:t>
      </w:r>
    </w:p>
    <w:p w:rsidR="00944DC5" w:rsidRDefault="00944DC5" w:rsidP="00944DC5">
      <w:pPr>
        <w:ind w:right="-141"/>
        <w:jc w:val="both"/>
        <w:rPr>
          <w:rFonts w:ascii="Arial" w:hAnsi="Arial"/>
          <w:sz w:val="22"/>
          <w:szCs w:val="22"/>
        </w:rPr>
      </w:pPr>
    </w:p>
    <w:p w:rsidR="00944DC5" w:rsidRDefault="00944DC5" w:rsidP="00944DC5">
      <w:pPr>
        <w:ind w:right="-141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P O Z I V A</w:t>
      </w:r>
    </w:p>
    <w:p w:rsidR="00944DC5" w:rsidRDefault="00944DC5" w:rsidP="00944DC5">
      <w:pPr>
        <w:ind w:right="-141"/>
        <w:rPr>
          <w:rFonts w:ascii="Arial" w:hAnsi="Arial"/>
          <w:sz w:val="22"/>
          <w:szCs w:val="22"/>
        </w:rPr>
      </w:pPr>
    </w:p>
    <w:p w:rsidR="00944DC5" w:rsidRDefault="00944DC5" w:rsidP="00944DC5">
      <w:pPr>
        <w:ind w:right="-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vlasnike, posjednike i nositelje drugih stvarnih prava na nekretninama </w:t>
      </w:r>
      <w:r>
        <w:rPr>
          <w:rFonts w:ascii="Arial" w:hAnsi="Arial"/>
          <w:sz w:val="22"/>
          <w:szCs w:val="22"/>
        </w:rPr>
        <w:t xml:space="preserve">koje neposredno graniče s planiranim zahvatom u prostoru </w:t>
      </w:r>
    </w:p>
    <w:p w:rsidR="00944DC5" w:rsidRDefault="00944DC5" w:rsidP="00944DC5">
      <w:pPr>
        <w:ind w:right="-2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IZGRADNJOM SREDNJETLAČNE PLINSKE MREŽE NASELJA:</w:t>
      </w:r>
    </w:p>
    <w:p w:rsidR="00944DC5" w:rsidRDefault="00944DC5" w:rsidP="00944DC5">
      <w:pPr>
        <w:ind w:right="-256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</w:rPr>
        <w:t xml:space="preserve"> STRUGE, BOGDANI I ŽITNJAK</w:t>
      </w:r>
    </w:p>
    <w:p w:rsidR="00944DC5" w:rsidRDefault="00944DC5" w:rsidP="00944DC5">
      <w:pPr>
        <w:ind w:right="-14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trasi kojom prolazi ST plinovod na </w:t>
      </w:r>
      <w:r>
        <w:rPr>
          <w:rFonts w:ascii="Arial" w:hAnsi="Arial"/>
          <w:sz w:val="22"/>
          <w:szCs w:val="20"/>
        </w:rPr>
        <w:t xml:space="preserve"> k.č.br. 960, 961, 962, 963/1, 1004/7, 1005/4, 1009, 1046/4, 1050/3, 1054, 1069, 1089/5, 1102, 1324/17, 1345/2, 1346/2, 1353, 1359, 1361, 1371, 1382/2, 1411/3, 1415/11, 1425, 1432/1, 1433/1, 1434/5, 1436/1, 1457/4, 1457/7, 1458, 1459/10, 1462/7, 1943, 2294, 2311/3, 2312/13, 2313/5, 2313/11, 2323,2327, 2332, 2337, 2342/2, 2346, 2365, 2371, 2378/3, 2378/5, 2378/7, 2379/7, 2379/9, 2380/11, 2381/8, 2382/4, 2382/5, 2382/7, 2384/11, 2384/16, 2358/8, 2387/3, 2387/11, 2389/2, 2413, 2446/5, 2487/2, 2488/5, 2589/1, 2589/2, 2641/5, 2651/2, 2668/2, 3142, 3148/4, 3148/14, 3149/3, 3172/2, 3173/2, 4214, 4229/1, 4229/3, 4289/1, 4289/6, 4289/7, 4289/8, 4290, 4291, 4292/1, 4292/3, 4296/2, 4325/2, 4328 i 4330 sve k.o. Žitnjak,   </w:t>
      </w:r>
      <w:r>
        <w:rPr>
          <w:rFonts w:ascii="Arial" w:hAnsi="Arial"/>
          <w:sz w:val="22"/>
          <w:szCs w:val="22"/>
        </w:rPr>
        <w:t xml:space="preserve">za koji se u ovome Uredu vodi postupak izdavanja građevinske dozvole, da izvrše uvid u glavni  projekt za ishođenje građevinske dozvole </w:t>
      </w:r>
      <w:proofErr w:type="spellStart"/>
      <w:r>
        <w:rPr>
          <w:rFonts w:ascii="Arial" w:hAnsi="Arial"/>
          <w:sz w:val="22"/>
          <w:szCs w:val="22"/>
        </w:rPr>
        <w:t>T.D</w:t>
      </w:r>
      <w:proofErr w:type="spellEnd"/>
      <w:r>
        <w:rPr>
          <w:rFonts w:ascii="Arial" w:hAnsi="Arial"/>
          <w:sz w:val="22"/>
          <w:szCs w:val="22"/>
        </w:rPr>
        <w:t>. 3290 od kolovoza 2014.god. izrađen po „</w:t>
      </w:r>
      <w:proofErr w:type="spellStart"/>
      <w:r>
        <w:rPr>
          <w:rFonts w:ascii="Arial" w:hAnsi="Arial"/>
          <w:sz w:val="22"/>
          <w:szCs w:val="22"/>
        </w:rPr>
        <w:t>Mašinoprojekt</w:t>
      </w:r>
      <w:proofErr w:type="spellEnd"/>
      <w:r>
        <w:rPr>
          <w:rFonts w:ascii="Arial" w:hAnsi="Arial"/>
          <w:sz w:val="22"/>
          <w:szCs w:val="22"/>
        </w:rPr>
        <w:t xml:space="preserve">“ d.o.o. </w:t>
      </w:r>
      <w:r>
        <w:rPr>
          <w:rFonts w:ascii="Arial" w:hAnsi="Arial"/>
          <w:sz w:val="22"/>
          <w:szCs w:val="20"/>
        </w:rPr>
        <w:t xml:space="preserve">iz Zagreba, Braće </w:t>
      </w:r>
      <w:proofErr w:type="spellStart"/>
      <w:r>
        <w:rPr>
          <w:rFonts w:ascii="Arial" w:hAnsi="Arial"/>
          <w:sz w:val="22"/>
          <w:szCs w:val="20"/>
        </w:rPr>
        <w:t>Domany</w:t>
      </w:r>
      <w:proofErr w:type="spellEnd"/>
      <w:r>
        <w:rPr>
          <w:rFonts w:ascii="Arial" w:hAnsi="Arial"/>
          <w:sz w:val="22"/>
          <w:szCs w:val="20"/>
        </w:rPr>
        <w:t xml:space="preserve"> 8, i glavnom  projektantu Jadranku Stilinoviću dipl.ing.str., </w:t>
      </w:r>
      <w:r>
        <w:rPr>
          <w:rFonts w:ascii="Arial" w:hAnsi="Arial"/>
          <w:sz w:val="22"/>
          <w:szCs w:val="22"/>
        </w:rPr>
        <w:t xml:space="preserve">te se osobno ili putem punomoćnika, </w:t>
      </w:r>
      <w:r>
        <w:rPr>
          <w:rFonts w:ascii="Arial" w:hAnsi="Arial"/>
          <w:b/>
          <w:sz w:val="22"/>
          <w:szCs w:val="22"/>
        </w:rPr>
        <w:t>očituju na predloženi zahvat u prostoru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b/>
          <w:sz w:val="22"/>
          <w:szCs w:val="22"/>
        </w:rPr>
        <w:t>dana  16.07.2014god. (utorak)  u 10 sati, soba 119, 1.kat - Gradsko poglavarstvo grada Zagreba</w:t>
      </w:r>
      <w:r>
        <w:rPr>
          <w:rFonts w:ascii="Arial" w:hAnsi="Arial"/>
          <w:sz w:val="22"/>
          <w:szCs w:val="22"/>
        </w:rPr>
        <w:t>, Trg Stjepana Radića 1.</w:t>
      </w:r>
    </w:p>
    <w:p w:rsidR="00944DC5" w:rsidRDefault="00944DC5" w:rsidP="00944DC5">
      <w:pPr>
        <w:ind w:right="-141" w:firstLine="108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Osobe koje se odazovu pozivu dužne su donijeti ispravu (izvadak iz zemljišne knjige, ugovor na temelju koje su stekle stvarno pravo ili posjedovni list), kojim dokazuju da imaju svojstvo stranke u postupku. </w:t>
      </w:r>
    </w:p>
    <w:p w:rsidR="00944DC5" w:rsidRDefault="00944DC5" w:rsidP="00944DC5">
      <w:pPr>
        <w:ind w:right="-141" w:firstLine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Ukoliko se pozvane osobe ne odazovu ovom pozivu a izostanak ne opravdaju, postupak će se nastaviti u skladu s pravilima postupka i materijalnom propisu.</w:t>
      </w:r>
    </w:p>
    <w:p w:rsidR="00944DC5" w:rsidRDefault="00944DC5" w:rsidP="00944DC5">
      <w:pPr>
        <w:ind w:right="42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Dostaviti:</w:t>
      </w:r>
    </w:p>
    <w:p w:rsidR="00944DC5" w:rsidRDefault="00944DC5" w:rsidP="00944DC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Oglasna ploča (8 dana)</w:t>
      </w:r>
    </w:p>
    <w:p w:rsidR="00944DC5" w:rsidRDefault="00944DC5" w:rsidP="00944DC5">
      <w:pPr>
        <w:ind w:left="720" w:right="4280" w:hanging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2.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Na građevnoj čestici</w:t>
      </w:r>
    </w:p>
    <w:p w:rsidR="00944DC5" w:rsidRDefault="00944DC5" w:rsidP="00944DC5">
      <w:pPr>
        <w:ind w:left="720" w:right="-114" w:hanging="360"/>
        <w:rPr>
          <w:rFonts w:ascii="Arial" w:hAnsi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3.</w:t>
      </w:r>
      <w:r>
        <w:rPr>
          <w:rFonts w:eastAsia="Arial"/>
          <w:sz w:val="14"/>
          <w:szCs w:val="14"/>
        </w:rPr>
        <w:t xml:space="preserve">      </w:t>
      </w:r>
      <w:r>
        <w:rPr>
          <w:rFonts w:ascii="Arial" w:hAnsi="Arial" w:cs="Arial"/>
          <w:sz w:val="22"/>
          <w:szCs w:val="22"/>
        </w:rPr>
        <w:t>Pismohrana</w:t>
      </w:r>
      <w:r>
        <w:rPr>
          <w:rFonts w:ascii="Arial" w:hAnsi="Arial"/>
          <w:sz w:val="22"/>
          <w:szCs w:val="22"/>
        </w:rPr>
        <w:t xml:space="preserve">                                                                  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Upravni savjetnik </w:t>
      </w:r>
    </w:p>
    <w:p w:rsidR="00944DC5" w:rsidRDefault="00944DC5" w:rsidP="00944DC5">
      <w:pPr>
        <w:ind w:left="5760" w:right="-141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Božica Smolčić  dipl.ing.građ</w:t>
      </w:r>
    </w:p>
    <w:p w:rsidR="0054502E" w:rsidRDefault="0054502E"/>
    <w:sectPr w:rsidR="00545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C5"/>
    <w:rsid w:val="0054502E"/>
    <w:rsid w:val="008E0D96"/>
    <w:rsid w:val="00944DC5"/>
    <w:rsid w:val="00A9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C5"/>
    <w:rPr>
      <w:rFonts w:eastAsiaTheme="minorHAnsi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C5"/>
    <w:rPr>
      <w:rFonts w:ascii="Tahoma" w:eastAsiaTheme="minorHAns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C5"/>
    <w:rPr>
      <w:rFonts w:eastAsiaTheme="minorHAnsi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D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C5"/>
    <w:rPr>
      <w:rFonts w:ascii="Tahoma" w:eastAsiaTheme="minorHAns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531372314@06072015-11D7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cp:lastPrinted>2015-07-07T06:12:00Z</cp:lastPrinted>
  <dcterms:created xsi:type="dcterms:W3CDTF">2015-07-07T06:10:00Z</dcterms:created>
  <dcterms:modified xsi:type="dcterms:W3CDTF">2015-07-07T06:14:00Z</dcterms:modified>
</cp:coreProperties>
</file>